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3C438" w14:textId="77777777" w:rsidR="00EC0AB8" w:rsidRPr="000D0B88" w:rsidRDefault="00EC0AB8" w:rsidP="00354981">
      <w:pPr>
        <w:pStyle w:val="msonormalmrcssattr"/>
        <w:shd w:val="clear" w:color="auto" w:fill="FFFFFF"/>
        <w:spacing w:before="0" w:beforeAutospacing="0" w:after="0" w:afterAutospacing="0"/>
        <w:jc w:val="center"/>
        <w:rPr>
          <w:b/>
          <w:bCs/>
          <w:color w:val="333333"/>
          <w:sz w:val="28"/>
          <w:szCs w:val="28"/>
          <w:lang w:val="fr-FR"/>
        </w:rPr>
      </w:pPr>
      <w:bookmarkStart w:id="0" w:name="_GoBack"/>
      <w:bookmarkEnd w:id="0"/>
    </w:p>
    <w:p w14:paraId="0404B490" w14:textId="63DC2DBE" w:rsidR="00274EEE" w:rsidRPr="000D0B88" w:rsidRDefault="000A545B" w:rsidP="00354981">
      <w:pPr>
        <w:pStyle w:val="msonormalmrcssattr"/>
        <w:shd w:val="clear" w:color="auto" w:fill="FFFFFF"/>
        <w:spacing w:before="0" w:beforeAutospacing="0" w:after="0" w:afterAutospacing="0"/>
        <w:jc w:val="center"/>
        <w:rPr>
          <w:color w:val="333333"/>
          <w:sz w:val="28"/>
          <w:szCs w:val="28"/>
          <w:lang w:val="fr-FR"/>
        </w:rPr>
      </w:pPr>
      <w:r w:rsidRPr="000D0B88">
        <w:rPr>
          <w:b/>
          <w:bCs/>
          <w:color w:val="333333"/>
          <w:sz w:val="28"/>
          <w:szCs w:val="28"/>
          <w:lang w:val="fr-FR"/>
        </w:rPr>
        <w:t>RÉSOLUTION</w:t>
      </w:r>
    </w:p>
    <w:p w14:paraId="7A762DC6" w14:textId="6B196854" w:rsidR="00274EEE" w:rsidRPr="000D0B88" w:rsidRDefault="000A545B" w:rsidP="00354981">
      <w:pPr>
        <w:pStyle w:val="msonormalmrcssattr"/>
        <w:shd w:val="clear" w:color="auto" w:fill="FFFFFF"/>
        <w:spacing w:before="0" w:beforeAutospacing="0" w:after="0" w:afterAutospacing="0"/>
        <w:jc w:val="center"/>
        <w:rPr>
          <w:b/>
          <w:bCs/>
          <w:color w:val="333333"/>
          <w:sz w:val="28"/>
          <w:szCs w:val="28"/>
          <w:lang w:val="fr-FR"/>
        </w:rPr>
      </w:pPr>
      <w:r w:rsidRPr="000D0B88">
        <w:rPr>
          <w:b/>
          <w:bCs/>
          <w:color w:val="333333"/>
          <w:sz w:val="28"/>
          <w:szCs w:val="28"/>
          <w:lang w:val="fr-FR"/>
        </w:rPr>
        <w:t>de la VIe Conférence scientifique et pratique internationale sur la lutte contre les maladies infectieuses : nouveaux défis</w:t>
      </w:r>
    </w:p>
    <w:p w14:paraId="2BBD018B" w14:textId="77777777" w:rsidR="00EC0AB8" w:rsidRPr="000D0B88" w:rsidRDefault="00EC0AB8" w:rsidP="00354981">
      <w:pPr>
        <w:pStyle w:val="msonormalmrcssattr"/>
        <w:shd w:val="clear" w:color="auto" w:fill="FFFFFF"/>
        <w:spacing w:before="0" w:beforeAutospacing="0" w:after="0" w:afterAutospacing="0"/>
        <w:jc w:val="center"/>
        <w:rPr>
          <w:color w:val="333333"/>
          <w:sz w:val="28"/>
          <w:szCs w:val="28"/>
          <w:lang w:val="fr-FR"/>
        </w:rPr>
      </w:pPr>
    </w:p>
    <w:p w14:paraId="42F182FB" w14:textId="7D597213" w:rsidR="00274EEE" w:rsidRPr="000D0B88" w:rsidRDefault="000A545B" w:rsidP="00354981">
      <w:pPr>
        <w:pStyle w:val="msonormalmrcssattr"/>
        <w:shd w:val="clear" w:color="auto" w:fill="FFFFFF"/>
        <w:spacing w:before="0" w:beforeAutospacing="0" w:after="0" w:afterAutospacing="0"/>
        <w:rPr>
          <w:b/>
          <w:bCs/>
          <w:color w:val="333333"/>
          <w:sz w:val="28"/>
          <w:szCs w:val="28"/>
          <w:lang w:val="fr-FR"/>
        </w:rPr>
      </w:pPr>
      <w:r w:rsidRPr="000D0B88">
        <w:rPr>
          <w:b/>
          <w:bCs/>
          <w:color w:val="333333"/>
          <w:sz w:val="28"/>
          <w:szCs w:val="28"/>
          <w:lang w:val="fr-FR"/>
        </w:rPr>
        <w:t xml:space="preserve">11-12 décembre 2025, </w:t>
      </w:r>
      <w:r w:rsidR="009B4B86">
        <w:rPr>
          <w:b/>
          <w:bCs/>
          <w:color w:val="333333"/>
          <w:sz w:val="28"/>
          <w:szCs w:val="28"/>
          <w:lang w:val="fr-FR"/>
        </w:rPr>
        <w:tab/>
      </w:r>
      <w:r w:rsidR="009B4B86">
        <w:rPr>
          <w:b/>
          <w:bCs/>
          <w:color w:val="333333"/>
          <w:sz w:val="28"/>
          <w:szCs w:val="28"/>
          <w:lang w:val="fr-FR"/>
        </w:rPr>
        <w:tab/>
      </w:r>
      <w:r w:rsidR="009B4B86">
        <w:rPr>
          <w:b/>
          <w:bCs/>
          <w:color w:val="333333"/>
          <w:sz w:val="28"/>
          <w:szCs w:val="28"/>
          <w:lang w:val="fr-FR"/>
        </w:rPr>
        <w:tab/>
      </w:r>
      <w:r w:rsidR="009B4B86">
        <w:rPr>
          <w:b/>
          <w:bCs/>
          <w:color w:val="333333"/>
          <w:sz w:val="28"/>
          <w:szCs w:val="28"/>
          <w:lang w:val="fr-FR"/>
        </w:rPr>
        <w:tab/>
      </w:r>
      <w:r w:rsidR="009B4B86">
        <w:rPr>
          <w:b/>
          <w:bCs/>
          <w:color w:val="333333"/>
          <w:sz w:val="28"/>
          <w:szCs w:val="28"/>
          <w:lang w:val="fr-FR"/>
        </w:rPr>
        <w:tab/>
        <w:t xml:space="preserve">ville de </w:t>
      </w:r>
      <w:r w:rsidRPr="000D0B88">
        <w:rPr>
          <w:b/>
          <w:bCs/>
          <w:color w:val="333333"/>
          <w:sz w:val="28"/>
          <w:szCs w:val="28"/>
          <w:lang w:val="fr-FR"/>
        </w:rPr>
        <w:t>Saint-Pétersbourg</w:t>
      </w:r>
    </w:p>
    <w:p w14:paraId="16D0EDF8" w14:textId="77777777" w:rsidR="00EC0AB8" w:rsidRPr="000D0B88" w:rsidRDefault="00EC0AB8" w:rsidP="00354981">
      <w:pPr>
        <w:pStyle w:val="msonormalmrcssattr"/>
        <w:shd w:val="clear" w:color="auto" w:fill="FFFFFF"/>
        <w:spacing w:before="0" w:beforeAutospacing="0" w:after="0" w:afterAutospacing="0"/>
        <w:rPr>
          <w:b/>
          <w:bCs/>
          <w:color w:val="333333"/>
          <w:sz w:val="28"/>
          <w:szCs w:val="28"/>
          <w:lang w:val="fr-FR"/>
        </w:rPr>
      </w:pPr>
    </w:p>
    <w:p w14:paraId="2A2F7437" w14:textId="4BA8C993" w:rsidR="00FD5D11" w:rsidRPr="000D0B88" w:rsidRDefault="000A545B" w:rsidP="00354981">
      <w:pPr>
        <w:pStyle w:val="msonormalmrcssattr"/>
        <w:shd w:val="clear" w:color="auto" w:fill="FFFFFF"/>
        <w:spacing w:before="0" w:beforeAutospacing="0" w:after="0" w:afterAutospacing="0"/>
        <w:ind w:firstLine="708"/>
        <w:jc w:val="both"/>
        <w:rPr>
          <w:sz w:val="28"/>
          <w:szCs w:val="28"/>
          <w:lang w:val="fr-FR"/>
        </w:rPr>
      </w:pPr>
      <w:r w:rsidRPr="000D0B88">
        <w:rPr>
          <w:sz w:val="28"/>
          <w:szCs w:val="28"/>
          <w:lang w:val="fr-FR"/>
        </w:rPr>
        <w:t xml:space="preserve">La VIe Conférence scientifique et pratique internationale sur </w:t>
      </w:r>
      <w:r w:rsidRPr="000D0B88">
        <w:rPr>
          <w:sz w:val="28"/>
          <w:szCs w:val="28"/>
          <w:lang w:val="fr-FR"/>
        </w:rPr>
        <w:t>les questions de lutte contre les maladies infectieuses (ci-après dénommée « la Conférence »), organisée par le Service fédéral de surveillance de la protection des droits des consommateurs et du bien-être humain (Rospotrebnadzor), a réuni plus de 350 part</w:t>
      </w:r>
      <w:r w:rsidRPr="000D0B88">
        <w:rPr>
          <w:sz w:val="28"/>
          <w:szCs w:val="28"/>
          <w:lang w:val="fr-FR"/>
        </w:rPr>
        <w:t>icipants venus de 27 pays du monde. Parmi eux figuraient des représentants des autorités publiques, de la communauté scientifique, ainsi que des épidémiologistes, virologues, bactériologistes, immunologistes, biologistes, médecins, spécialistes des technol</w:t>
      </w:r>
      <w:r w:rsidRPr="000D0B88">
        <w:rPr>
          <w:sz w:val="28"/>
          <w:szCs w:val="28"/>
          <w:lang w:val="fr-FR"/>
        </w:rPr>
        <w:t>ogies de l'information et d'autres experts.</w:t>
      </w:r>
      <w:r w:rsidR="009B4B86">
        <w:rPr>
          <w:sz w:val="28"/>
          <w:szCs w:val="28"/>
          <w:lang w:val="fr-FR"/>
        </w:rPr>
        <w:t xml:space="preserve"> </w:t>
      </w:r>
      <w:r w:rsidRPr="000D0B88">
        <w:rPr>
          <w:sz w:val="28"/>
          <w:szCs w:val="28"/>
          <w:lang w:val="fr-FR"/>
        </w:rPr>
        <w:t>La Conférence a accueilli des délégations venues des pays de la Communauté des États indépendants (CEI), d'Europe de l'Est, d'Asie centrale et du Sud-Est, d'Afrique et d'Amérique du Sud, ainsi que des représentan</w:t>
      </w:r>
      <w:r w:rsidRPr="000D0B88">
        <w:rPr>
          <w:sz w:val="28"/>
          <w:szCs w:val="28"/>
          <w:lang w:val="fr-FR"/>
        </w:rPr>
        <w:t xml:space="preserve">ts d'organisations internationales. </w:t>
      </w:r>
    </w:p>
    <w:p w14:paraId="03BF584F" w14:textId="779DE7DC" w:rsidR="00FF2F21" w:rsidRPr="000D0B88" w:rsidRDefault="000A545B" w:rsidP="00354981">
      <w:pPr>
        <w:spacing w:after="0" w:line="240" w:lineRule="auto"/>
        <w:ind w:firstLine="709"/>
        <w:jc w:val="both"/>
        <w:rPr>
          <w:rFonts w:ascii="Times New Roman" w:hAnsi="Times New Roman" w:cs="Times New Roman"/>
          <w:sz w:val="28"/>
          <w:szCs w:val="28"/>
          <w:lang w:val="fr-FR"/>
        </w:rPr>
      </w:pPr>
      <w:r w:rsidRPr="000D0B88">
        <w:rPr>
          <w:rFonts w:ascii="Times New Roman" w:hAnsi="Times New Roman" w:cs="Times New Roman"/>
          <w:sz w:val="28"/>
          <w:szCs w:val="28"/>
          <w:lang w:val="fr-FR"/>
        </w:rPr>
        <w:t>L'évolution naturelle des agents pathogènes, l'expansion de leurs aires de répartition et la capacité à franchir les barrières interspécifiques, ainsi que la possibilité de créer de nouveaux agents pathogènes « artifici</w:t>
      </w:r>
      <w:r w:rsidRPr="000D0B88">
        <w:rPr>
          <w:rFonts w:ascii="Times New Roman" w:hAnsi="Times New Roman" w:cs="Times New Roman"/>
          <w:sz w:val="28"/>
          <w:szCs w:val="28"/>
          <w:lang w:val="fr-FR"/>
        </w:rPr>
        <w:t>els » grâce aux méthodes de biologie synthétique et aux technologies d'intelligence artificielle, accroissent les risques pour la sécurité biologique dans le monde contemporain. Cette situation exige de conjuguer les efforts de spécialistes de divers domai</w:t>
      </w:r>
      <w:r w:rsidRPr="000D0B88">
        <w:rPr>
          <w:rFonts w:ascii="Times New Roman" w:hAnsi="Times New Roman" w:cs="Times New Roman"/>
          <w:sz w:val="28"/>
          <w:szCs w:val="28"/>
          <w:lang w:val="fr-FR"/>
        </w:rPr>
        <w:t xml:space="preserve">nes et d'accroître la mobilité du système de détection et de riposte aux situations épidémiques d'urgence. La surveillance épidémiologique moderne, qui implique l'analyse de </w:t>
      </w:r>
      <w:r w:rsidRPr="000D0B88">
        <w:rPr>
          <w:rFonts w:ascii="Times New Roman" w:hAnsi="Times New Roman" w:cs="Times New Roman"/>
          <w:color w:val="0A0A0A"/>
          <w:sz w:val="28"/>
          <w:szCs w:val="28"/>
          <w:shd w:val="clear" w:color="auto" w:fill="FFFFFF"/>
          <w:lang w:val="fr-FR"/>
        </w:rPr>
        <w:t>volumes considérables de données provenant de sources diverses, y compris les résu</w:t>
      </w:r>
      <w:r w:rsidRPr="000D0B88">
        <w:rPr>
          <w:rFonts w:ascii="Times New Roman" w:hAnsi="Times New Roman" w:cs="Times New Roman"/>
          <w:color w:val="0A0A0A"/>
          <w:sz w:val="28"/>
          <w:szCs w:val="28"/>
          <w:shd w:val="clear" w:color="auto" w:fill="FFFFFF"/>
          <w:lang w:val="fr-FR"/>
        </w:rPr>
        <w:t>ltats de la surveillance génomique et immunologique, nécessite l'utilisation d'outils numériques spécialisés et de la modélisation mathématique</w:t>
      </w:r>
      <w:r w:rsidRPr="000D0B88">
        <w:rPr>
          <w:rFonts w:ascii="Times New Roman" w:hAnsi="Times New Roman" w:cs="Times New Roman"/>
          <w:sz w:val="28"/>
          <w:szCs w:val="28"/>
          <w:lang w:val="fr-FR"/>
        </w:rPr>
        <w:t xml:space="preserve">. Ces derniers sont essentiels pour prévoir les flambées épidémiques et </w:t>
      </w:r>
      <w:r w:rsidRPr="000D0B88">
        <w:rPr>
          <w:rFonts w:ascii="Times New Roman" w:hAnsi="Times New Roman" w:cs="Times New Roman"/>
          <w:color w:val="0A0A0A"/>
          <w:sz w:val="28"/>
          <w:szCs w:val="28"/>
          <w:shd w:val="clear" w:color="auto" w:fill="FFFFFF"/>
          <w:lang w:val="fr-FR"/>
        </w:rPr>
        <w:t>pour fonder les décisions prises</w:t>
      </w:r>
      <w:r w:rsidRPr="000D0B88">
        <w:rPr>
          <w:rFonts w:ascii="Times New Roman" w:hAnsi="Times New Roman" w:cs="Times New Roman"/>
          <w:sz w:val="28"/>
          <w:szCs w:val="28"/>
          <w:lang w:val="fr-FR"/>
        </w:rPr>
        <w:t xml:space="preserve"> en réponse aux situations d'urgence.</w:t>
      </w:r>
    </w:p>
    <w:p w14:paraId="4BDAA01A" w14:textId="7EE367ED" w:rsidR="00392D15" w:rsidRPr="000D0B88" w:rsidRDefault="000A545B" w:rsidP="00354981">
      <w:pPr>
        <w:spacing w:after="0" w:line="240" w:lineRule="auto"/>
        <w:ind w:firstLine="709"/>
        <w:jc w:val="both"/>
        <w:rPr>
          <w:rFonts w:ascii="Times New Roman" w:hAnsi="Times New Roman" w:cs="Times New Roman"/>
          <w:sz w:val="28"/>
          <w:szCs w:val="28"/>
          <w:lang w:val="fr-FR"/>
        </w:rPr>
      </w:pPr>
      <w:r w:rsidRPr="000D0B88">
        <w:rPr>
          <w:rFonts w:ascii="Times New Roman" w:hAnsi="Times New Roman" w:cs="Times New Roman"/>
          <w:color w:val="000000"/>
          <w:sz w:val="28"/>
          <w:szCs w:val="28"/>
          <w:lang w:val="fr-FR"/>
        </w:rPr>
        <w:t>La pandémie COVID-19 a souligné la pertinence de l'influence des maladies infectieuses sur l'apparition et l'évolution de la pathologie somatique, la résistance des agents pathogènes aux médicaments antibactériens et a</w:t>
      </w:r>
      <w:r w:rsidRPr="000D0B88">
        <w:rPr>
          <w:rFonts w:ascii="Times New Roman" w:hAnsi="Times New Roman" w:cs="Times New Roman"/>
          <w:color w:val="000000"/>
          <w:sz w:val="28"/>
          <w:szCs w:val="28"/>
          <w:lang w:val="fr-FR"/>
        </w:rPr>
        <w:t xml:space="preserve">ntiviraux, ce qui nécessite l'intégration de l'expérience scientifique et pratique des infectiologues, des épidémiologistes et des médecins d'autres spécialités. </w:t>
      </w:r>
    </w:p>
    <w:p w14:paraId="53A862E4" w14:textId="23F0E7DC" w:rsidR="00EC72FC" w:rsidRPr="000D0B88" w:rsidRDefault="000A545B" w:rsidP="00354981">
      <w:pPr>
        <w:pStyle w:val="msonormalmrcssattr"/>
        <w:shd w:val="clear" w:color="auto" w:fill="FFFFFF"/>
        <w:spacing w:before="0" w:beforeAutospacing="0" w:after="0" w:afterAutospacing="0"/>
        <w:ind w:firstLine="708"/>
        <w:jc w:val="both"/>
        <w:rPr>
          <w:sz w:val="28"/>
          <w:szCs w:val="28"/>
          <w:lang w:val="fr-FR"/>
        </w:rPr>
      </w:pPr>
      <w:r w:rsidRPr="000D0B88">
        <w:rPr>
          <w:sz w:val="28"/>
          <w:szCs w:val="28"/>
          <w:lang w:val="fr-FR"/>
        </w:rPr>
        <w:t>Au cours de deux séances plénières, de 12 sessions parallèles et de deux tables rondes, 139 c</w:t>
      </w:r>
      <w:r w:rsidRPr="000D0B88">
        <w:rPr>
          <w:sz w:val="28"/>
          <w:szCs w:val="28"/>
          <w:lang w:val="fr-FR"/>
        </w:rPr>
        <w:t xml:space="preserve">ommunications ont été présentées. Des spécialistes de différents profils ont présenté les dernières avancées de la recherche génomique et immunologique, des technologies de l'information, de l'intelligence artificielle et de la Biologie synthétique, ainsi </w:t>
      </w:r>
      <w:r w:rsidRPr="000D0B88">
        <w:rPr>
          <w:sz w:val="28"/>
          <w:szCs w:val="28"/>
          <w:lang w:val="fr-FR"/>
        </w:rPr>
        <w:t xml:space="preserve">que leur utilisation active comme outils de surveillance épidémiologique. </w:t>
      </w:r>
    </w:p>
    <w:p w14:paraId="1D2DCAD3" w14:textId="38FC2521" w:rsidR="00620EA4" w:rsidRPr="000D0B88" w:rsidRDefault="000A545B" w:rsidP="00354981">
      <w:pPr>
        <w:pStyle w:val="msonormalmrcssattr"/>
        <w:shd w:val="clear" w:color="auto" w:fill="FFFFFF"/>
        <w:spacing w:before="0" w:beforeAutospacing="0" w:after="0" w:afterAutospacing="0"/>
        <w:ind w:firstLine="708"/>
        <w:jc w:val="both"/>
        <w:rPr>
          <w:sz w:val="28"/>
          <w:szCs w:val="28"/>
          <w:lang w:val="fr-FR"/>
        </w:rPr>
      </w:pPr>
      <w:r w:rsidRPr="000D0B88">
        <w:rPr>
          <w:sz w:val="28"/>
          <w:szCs w:val="28"/>
          <w:lang w:val="fr-FR"/>
        </w:rPr>
        <w:t>Les délégués des pays participants ont fait part de leur expérience de la lutte contre les menaces infectieuses nouvelles et récurrentes, mis en lumière les succès et les défis de l</w:t>
      </w:r>
      <w:r w:rsidRPr="000D0B88">
        <w:rPr>
          <w:sz w:val="28"/>
          <w:szCs w:val="28"/>
          <w:lang w:val="fr-FR"/>
        </w:rPr>
        <w:t>a lutte contre les infections focales naturelles, les infections à vaccins et respiratoires, l'hépatite virale, l'infection par le VIH et la résistance aux antimicrobiens. Des experts de la République du Congo et de l'Ouganda ont remercié Rospotrebnadzor p</w:t>
      </w:r>
      <w:r w:rsidRPr="000D0B88">
        <w:rPr>
          <w:sz w:val="28"/>
          <w:szCs w:val="28"/>
          <w:lang w:val="fr-FR"/>
        </w:rPr>
        <w:t xml:space="preserve">our son aide opportune dans la lutte contre le choléra et le virus Ebola en 2025 et ont présenté les résultats des équipes mobiles conjointes. </w:t>
      </w:r>
    </w:p>
    <w:p w14:paraId="486C829E" w14:textId="708B5311" w:rsidR="00D24798" w:rsidRPr="000D0B88" w:rsidRDefault="000A545B" w:rsidP="00354981">
      <w:pPr>
        <w:tabs>
          <w:tab w:val="left" w:pos="0"/>
        </w:tabs>
        <w:spacing w:after="0" w:line="240" w:lineRule="auto"/>
        <w:ind w:right="-23"/>
        <w:jc w:val="both"/>
        <w:rPr>
          <w:rFonts w:ascii="Times New Roman" w:hAnsi="Times New Roman" w:cs="Times New Roman"/>
          <w:sz w:val="24"/>
          <w:szCs w:val="24"/>
          <w:lang w:val="fr-FR"/>
        </w:rPr>
      </w:pPr>
      <w:r w:rsidRPr="000D0B88">
        <w:rPr>
          <w:rFonts w:ascii="Times New Roman" w:hAnsi="Times New Roman" w:cs="Times New Roman"/>
          <w:sz w:val="28"/>
          <w:szCs w:val="28"/>
          <w:lang w:val="fr-FR"/>
        </w:rPr>
        <w:lastRenderedPageBreak/>
        <w:tab/>
        <w:t>Dans le cadre de la conférence s'est tenu le premier symposium russo-chinois, consacré à la coopération entre l</w:t>
      </w:r>
      <w:r w:rsidRPr="000D0B88">
        <w:rPr>
          <w:rFonts w:ascii="Times New Roman" w:hAnsi="Times New Roman" w:cs="Times New Roman"/>
          <w:sz w:val="28"/>
          <w:szCs w:val="28"/>
          <w:lang w:val="fr-FR"/>
        </w:rPr>
        <w:t>es deux pays pour assurer le bien-être épidémiologique de la population. Lors de celui-ci, les dirigeants des principaux instituts de Rospotrebnadzor ont présenté le système de réponse opérationnelle aux situations d'urgence sanitaires et épidémiologiques.</w:t>
      </w:r>
      <w:r w:rsidRPr="000D0B88">
        <w:rPr>
          <w:rFonts w:ascii="Times New Roman" w:hAnsi="Times New Roman" w:cs="Times New Roman"/>
          <w:sz w:val="28"/>
          <w:szCs w:val="28"/>
          <w:lang w:val="fr-FR"/>
        </w:rPr>
        <w:t xml:space="preserve"> Ils ont également exposé les questions relatives à la surveillance génomique et immunologique mise en œuvre en Fédération de Russie et à l'étranger. Des représentants de l'Administration nationale pour le contrôle et la prévention des maladies (de Chine),</w:t>
      </w:r>
      <w:r w:rsidRPr="000D0B88">
        <w:rPr>
          <w:rFonts w:ascii="Times New Roman" w:hAnsi="Times New Roman" w:cs="Times New Roman"/>
          <w:sz w:val="28"/>
          <w:szCs w:val="28"/>
          <w:lang w:val="fr-FR"/>
        </w:rPr>
        <w:t xml:space="preserve"> de l'Institut national pour le contrôle et la prévention des maladies infectieuses, ainsi que d'autres institutions chinoises ont partagé leurs avancées dans la recherche sur la peste et leur expérience dans la riposte aux flambées de fièvres virales. Les</w:t>
      </w:r>
      <w:r w:rsidRPr="000D0B88">
        <w:rPr>
          <w:rFonts w:ascii="Times New Roman" w:hAnsi="Times New Roman" w:cs="Times New Roman"/>
          <w:sz w:val="28"/>
          <w:szCs w:val="28"/>
          <w:lang w:val="fr-FR"/>
        </w:rPr>
        <w:t xml:space="preserve"> collaborateurs de l'Institut de Génomique de Pékin et du Centre national de </w:t>
      </w:r>
      <w:r w:rsidR="000D0B88" w:rsidRPr="000D0B88">
        <w:rPr>
          <w:rFonts w:ascii="Times New Roman" w:hAnsi="Times New Roman" w:cs="Times New Roman"/>
          <w:sz w:val="28"/>
          <w:szCs w:val="28"/>
          <w:lang w:val="fr-FR"/>
        </w:rPr>
        <w:t>bio-informatique</w:t>
      </w:r>
      <w:r w:rsidRPr="000D0B88">
        <w:rPr>
          <w:rFonts w:ascii="Times New Roman" w:hAnsi="Times New Roman" w:cs="Times New Roman"/>
          <w:sz w:val="28"/>
          <w:szCs w:val="28"/>
          <w:lang w:val="fr-FR"/>
        </w:rPr>
        <w:t xml:space="preserve"> de Chine ont présenté les activités de leurs institutions ainsi que leur contribution à la surveillance épidémiologique des infections en Chine. Le symposium a pe</w:t>
      </w:r>
      <w:r w:rsidRPr="000D0B88">
        <w:rPr>
          <w:rFonts w:ascii="Times New Roman" w:hAnsi="Times New Roman" w:cs="Times New Roman"/>
          <w:sz w:val="28"/>
          <w:szCs w:val="28"/>
          <w:lang w:val="fr-FR"/>
        </w:rPr>
        <w:t xml:space="preserve">rmis de définir les orientations de la coopération future entre les deux pays dans le domaine de la préservation de la santé de leurs populations. </w:t>
      </w:r>
    </w:p>
    <w:p w14:paraId="05DBCCEE" w14:textId="70A2031E" w:rsidR="00D24798" w:rsidRPr="000D0B88" w:rsidRDefault="00755782" w:rsidP="00354981">
      <w:pPr>
        <w:tabs>
          <w:tab w:val="left" w:pos="0"/>
        </w:tabs>
        <w:spacing w:after="0" w:line="240" w:lineRule="auto"/>
        <w:ind w:right="-23"/>
        <w:jc w:val="both"/>
        <w:rPr>
          <w:rFonts w:ascii="Times New Roman" w:hAnsi="Times New Roman" w:cs="Times New Roman"/>
          <w:sz w:val="28"/>
          <w:szCs w:val="28"/>
          <w:lang w:val="fr-FR"/>
        </w:rPr>
      </w:pPr>
      <w:r w:rsidRPr="000D0B88">
        <w:rPr>
          <w:rFonts w:ascii="Times New Roman" w:hAnsi="Times New Roman" w:cs="Times New Roman"/>
          <w:sz w:val="28"/>
          <w:szCs w:val="28"/>
          <w:lang w:val="fr-FR"/>
        </w:rPr>
        <w:tab/>
        <w:t xml:space="preserve">Lors de la table ronde et sur le site de l'exposition, des innovations russes (systèmes de test, équipements mobiles, produits informatiques) dans le domaine de la protection sanitaire et épidémiologique ont été présentées. La Fédération de Russie partage ces développements avec ses partenaires internationaux. </w:t>
      </w:r>
    </w:p>
    <w:p w14:paraId="3049516D" w14:textId="5D8CCF0F" w:rsidR="00E4759E" w:rsidRPr="000D0B88" w:rsidRDefault="00E4759E" w:rsidP="00354981">
      <w:pPr>
        <w:tabs>
          <w:tab w:val="left" w:pos="284"/>
        </w:tabs>
        <w:spacing w:after="0" w:line="240" w:lineRule="auto"/>
        <w:jc w:val="both"/>
        <w:rPr>
          <w:rFonts w:ascii="Times New Roman" w:hAnsi="Times New Roman" w:cs="Times New Roman"/>
          <w:sz w:val="28"/>
          <w:szCs w:val="28"/>
          <w:lang w:val="fr-FR"/>
        </w:rPr>
      </w:pPr>
    </w:p>
    <w:p w14:paraId="00A8D596" w14:textId="68D0E0B4" w:rsidR="00E4759E" w:rsidRPr="000D0B88" w:rsidRDefault="000A545B" w:rsidP="00354981">
      <w:pPr>
        <w:tabs>
          <w:tab w:val="left" w:pos="284"/>
        </w:tabs>
        <w:spacing w:after="0" w:line="240" w:lineRule="auto"/>
        <w:rPr>
          <w:rFonts w:ascii="Times New Roman" w:hAnsi="Times New Roman" w:cs="Times New Roman"/>
          <w:sz w:val="28"/>
          <w:szCs w:val="28"/>
          <w:lang w:val="fr-FR"/>
        </w:rPr>
      </w:pPr>
      <w:r w:rsidRPr="000D0B88">
        <w:rPr>
          <w:rFonts w:ascii="Times New Roman" w:hAnsi="Times New Roman" w:cs="Times New Roman"/>
          <w:sz w:val="28"/>
          <w:szCs w:val="28"/>
          <w:lang w:val="fr-FR"/>
        </w:rPr>
        <w:t>Les participants de la conférence :</w:t>
      </w:r>
    </w:p>
    <w:p w14:paraId="51D38A88" w14:textId="77777777" w:rsidR="00092268" w:rsidRPr="000D0B88" w:rsidRDefault="00092268" w:rsidP="00354981">
      <w:pPr>
        <w:tabs>
          <w:tab w:val="left" w:pos="284"/>
        </w:tabs>
        <w:spacing w:after="0" w:line="240" w:lineRule="auto"/>
        <w:rPr>
          <w:rFonts w:ascii="Times New Roman" w:hAnsi="Times New Roman" w:cs="Times New Roman"/>
          <w:sz w:val="28"/>
          <w:szCs w:val="28"/>
          <w:lang w:val="fr-FR"/>
        </w:rPr>
      </w:pPr>
    </w:p>
    <w:p w14:paraId="03E91195" w14:textId="201EDBB7" w:rsidR="001B435F" w:rsidRPr="000D0B88" w:rsidRDefault="000D0B88" w:rsidP="00354981">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fr-FR"/>
        </w:rPr>
      </w:pPr>
      <w:r>
        <w:rPr>
          <w:rFonts w:ascii="Times New Roman" w:hAnsi="Times New Roman" w:cs="Times New Roman"/>
          <w:sz w:val="28"/>
          <w:szCs w:val="28"/>
          <w:lang w:val="en-US"/>
        </w:rPr>
        <w:t>o</w:t>
      </w:r>
      <w:r w:rsidRPr="000D0B88">
        <w:rPr>
          <w:rFonts w:ascii="Times New Roman" w:hAnsi="Times New Roman" w:cs="Times New Roman"/>
          <w:sz w:val="28"/>
          <w:szCs w:val="28"/>
          <w:lang w:val="fr-FR"/>
        </w:rPr>
        <w:t>nt souligné la nécessité d'utiliser les technologies de l'information, les plateformes numériques, les modèles mathématiques et les approches statistiques dans l'analyse épidémiologique, la prévision des différents aspects des maladies infectieuses, ainsi que pour l'évaluation de l'efficacité des mesures de lutte antiépidémique. Ils ont également insisté sur l'importance d'un échange permanent d'informations concernant les menaces, tant externes qu'internes, pesant sur la protection sanitaire et épidémiologique de la population</w:t>
      </w:r>
      <w:r>
        <w:rPr>
          <w:rFonts w:ascii="Times New Roman" w:hAnsi="Times New Roman" w:cs="Times New Roman"/>
          <w:sz w:val="28"/>
          <w:szCs w:val="28"/>
          <w:lang w:val="fr-FR"/>
        </w:rPr>
        <w:t> ;</w:t>
      </w:r>
      <w:r w:rsidR="009B4B86">
        <w:rPr>
          <w:rFonts w:ascii="Times New Roman" w:hAnsi="Times New Roman" w:cs="Times New Roman"/>
          <w:sz w:val="28"/>
          <w:szCs w:val="28"/>
          <w:lang w:val="fr-FR"/>
        </w:rPr>
        <w:t xml:space="preserve"> </w:t>
      </w:r>
    </w:p>
    <w:p w14:paraId="6E731BA7" w14:textId="2A6CC7BA" w:rsidR="003F3BFB" w:rsidRPr="000D0B88" w:rsidRDefault="000D0B88" w:rsidP="003F3BFB">
      <w:pPr>
        <w:pStyle w:val="1"/>
        <w:numPr>
          <w:ilvl w:val="0"/>
          <w:numId w:val="3"/>
        </w:numPr>
        <w:shd w:val="clear" w:color="auto" w:fill="FFFFFF"/>
        <w:tabs>
          <w:tab w:val="left" w:pos="284"/>
          <w:tab w:val="left" w:pos="851"/>
        </w:tabs>
        <w:autoSpaceDE w:val="0"/>
        <w:autoSpaceDN w:val="0"/>
        <w:adjustRightInd w:val="0"/>
        <w:spacing w:after="0" w:line="240" w:lineRule="auto"/>
        <w:ind w:left="0" w:firstLine="0"/>
        <w:jc w:val="both"/>
        <w:rPr>
          <w:rFonts w:ascii="Times New Roman" w:hAnsi="Times New Roman"/>
          <w:sz w:val="28"/>
          <w:szCs w:val="28"/>
          <w:lang w:val="fr-FR"/>
        </w:rPr>
      </w:pPr>
      <w:r>
        <w:rPr>
          <w:rFonts w:ascii="Times New Roman" w:hAnsi="Times New Roman"/>
          <w:sz w:val="28"/>
          <w:szCs w:val="28"/>
          <w:lang w:val="en-US"/>
        </w:rPr>
        <w:t>o</w:t>
      </w:r>
      <w:r w:rsidRPr="000D0B88">
        <w:rPr>
          <w:rFonts w:ascii="Times New Roman" w:hAnsi="Times New Roman"/>
          <w:sz w:val="28"/>
          <w:szCs w:val="28"/>
          <w:lang w:val="fr-FR"/>
        </w:rPr>
        <w:t>nt constaté que la surveillance épidémiologique génomique permet d'identifier en temps opportun les risques d'une évolution défavorable de la situation épidémiologique ainsi que les nouvelles menaces infectieuses. Elle constitue également le fondement essentiel pour l'étude de l'évolution des agents pathogènes</w:t>
      </w:r>
      <w:r>
        <w:rPr>
          <w:rFonts w:ascii="Times New Roman" w:hAnsi="Times New Roman"/>
          <w:sz w:val="28"/>
          <w:szCs w:val="28"/>
          <w:lang w:val="fr-FR"/>
        </w:rPr>
        <w:t> ;</w:t>
      </w:r>
      <w:r w:rsidRPr="000D0B88">
        <w:rPr>
          <w:rFonts w:ascii="Times New Roman" w:hAnsi="Times New Roman"/>
          <w:sz w:val="28"/>
          <w:szCs w:val="28"/>
          <w:lang w:val="fr-FR"/>
        </w:rPr>
        <w:t xml:space="preserve"> </w:t>
      </w:r>
    </w:p>
    <w:p w14:paraId="1B29BDA5" w14:textId="45F2AD48" w:rsidR="005D0CE0" w:rsidRPr="000D0B88" w:rsidRDefault="000D0B88" w:rsidP="00354981">
      <w:pPr>
        <w:pStyle w:val="a9"/>
        <w:numPr>
          <w:ilvl w:val="0"/>
          <w:numId w:val="3"/>
        </w:numPr>
        <w:tabs>
          <w:tab w:val="left" w:pos="284"/>
        </w:tabs>
        <w:spacing w:after="0" w:line="240" w:lineRule="auto"/>
        <w:ind w:left="0" w:firstLine="0"/>
        <w:jc w:val="both"/>
        <w:rPr>
          <w:rFonts w:ascii="Times New Roman" w:hAnsi="Times New Roman" w:cs="Times New Roman"/>
          <w:color w:val="000000" w:themeColor="text1"/>
          <w:sz w:val="28"/>
          <w:szCs w:val="28"/>
          <w:lang w:val="fr-FR"/>
        </w:rPr>
      </w:pPr>
      <w:r>
        <w:rPr>
          <w:rFonts w:ascii="Times New Roman" w:hAnsi="Times New Roman" w:cs="Times New Roman"/>
          <w:sz w:val="28"/>
          <w:szCs w:val="28"/>
          <w:lang w:val="fr-FR"/>
        </w:rPr>
        <w:t>o</w:t>
      </w:r>
      <w:r w:rsidRPr="000D0B88">
        <w:rPr>
          <w:rFonts w:ascii="Times New Roman" w:hAnsi="Times New Roman" w:cs="Times New Roman"/>
          <w:sz w:val="28"/>
          <w:szCs w:val="28"/>
          <w:lang w:val="fr-FR"/>
        </w:rPr>
        <w:t xml:space="preserve">nt relevé l'importance de la surveillance immunologique dans l'identification des causes de l'augmentation de l'incidence des maladies, ainsi que le rôle de l'immunité collective dans le maintien du bien-être épidémiologique face aux infections à prévention vaccinale. Par ailleurs, ils ont présenté les approches organisationnelles et méthodologiques modernes pour la </w:t>
      </w:r>
      <w:r w:rsidR="009D6CC4" w:rsidRPr="000D0B88">
        <w:rPr>
          <w:rFonts w:ascii="Times New Roman" w:hAnsi="Times New Roman" w:cs="Times New Roman"/>
          <w:color w:val="000000" w:themeColor="text1"/>
          <w:sz w:val="28"/>
          <w:szCs w:val="28"/>
          <w:lang w:val="fr-FR"/>
        </w:rPr>
        <w:t>réalisation d'études immunologiques à grande échelle</w:t>
      </w:r>
      <w:r>
        <w:rPr>
          <w:rFonts w:ascii="Times New Roman" w:hAnsi="Times New Roman" w:cs="Times New Roman"/>
          <w:color w:val="000000" w:themeColor="text1"/>
          <w:sz w:val="28"/>
          <w:szCs w:val="28"/>
          <w:lang w:val="fr-FR"/>
        </w:rPr>
        <w:t> ;</w:t>
      </w:r>
    </w:p>
    <w:p w14:paraId="3139E11F" w14:textId="74F9BEC9" w:rsidR="005D0CE0" w:rsidRPr="000D0B88" w:rsidRDefault="000D0B88" w:rsidP="00354981">
      <w:pPr>
        <w:pStyle w:val="a9"/>
        <w:numPr>
          <w:ilvl w:val="0"/>
          <w:numId w:val="3"/>
        </w:numPr>
        <w:tabs>
          <w:tab w:val="left" w:pos="284"/>
        </w:tabs>
        <w:spacing w:after="0" w:line="240" w:lineRule="auto"/>
        <w:ind w:left="0" w:firstLine="0"/>
        <w:jc w:val="both"/>
        <w:rPr>
          <w:rFonts w:ascii="Times New Roman" w:hAnsi="Times New Roman" w:cs="Times New Roman"/>
          <w:color w:val="000000" w:themeColor="text1"/>
          <w:sz w:val="28"/>
          <w:szCs w:val="28"/>
          <w:lang w:val="fr-FR"/>
        </w:rPr>
      </w:pPr>
      <w:r>
        <w:rPr>
          <w:rFonts w:ascii="Times New Roman" w:hAnsi="Times New Roman" w:cs="Times New Roman"/>
          <w:sz w:val="28"/>
          <w:szCs w:val="28"/>
          <w:lang w:val="fr-FR"/>
        </w:rPr>
        <w:t>o</w:t>
      </w:r>
      <w:r w:rsidRPr="000D0B88">
        <w:rPr>
          <w:rFonts w:ascii="Times New Roman" w:hAnsi="Times New Roman" w:cs="Times New Roman"/>
          <w:sz w:val="28"/>
          <w:szCs w:val="28"/>
          <w:lang w:val="fr-FR"/>
        </w:rPr>
        <w:t xml:space="preserve">nt </w:t>
      </w:r>
      <w:r w:rsidRPr="000D0B88">
        <w:rPr>
          <w:rFonts w:ascii="Times New Roman" w:hAnsi="Times New Roman" w:cs="Times New Roman"/>
          <w:color w:val="000000" w:themeColor="text1"/>
          <w:sz w:val="28"/>
          <w:szCs w:val="28"/>
          <w:lang w:val="fr-FR"/>
        </w:rPr>
        <w:t>pointé le danger croissant que représentent les risques liés aux menaces biologiques, lesquels sont associés à l'évolution des virus. Cette évolution se caractérise par une augmentation de la pathogénicité, la capacité à franchir les barrières interspécifiques et à sortir de leurs « niches écologiques » traditionnelles, ainsi que par des modifications de la structure antigénique leur permettant d'échapper à l'action thérapeutique des médicaments et des vaccins</w:t>
      </w:r>
      <w:r>
        <w:rPr>
          <w:rFonts w:ascii="Times New Roman" w:hAnsi="Times New Roman" w:cs="Times New Roman"/>
          <w:color w:val="000000" w:themeColor="text1"/>
          <w:sz w:val="28"/>
          <w:szCs w:val="28"/>
          <w:lang w:val="fr-FR"/>
        </w:rPr>
        <w:t> ;</w:t>
      </w:r>
      <w:r w:rsidRPr="000D0B88">
        <w:rPr>
          <w:rFonts w:ascii="Times New Roman" w:hAnsi="Times New Roman" w:cs="Times New Roman"/>
          <w:color w:val="000000" w:themeColor="text1"/>
          <w:sz w:val="28"/>
          <w:szCs w:val="28"/>
          <w:lang w:val="fr-FR"/>
        </w:rPr>
        <w:t xml:space="preserve"> </w:t>
      </w:r>
    </w:p>
    <w:p w14:paraId="33C0D9DA" w14:textId="0A889C6F" w:rsidR="009D6CC4" w:rsidRPr="000D0B88" w:rsidRDefault="000A545B" w:rsidP="00354981">
      <w:pPr>
        <w:pStyle w:val="a9"/>
        <w:numPr>
          <w:ilvl w:val="0"/>
          <w:numId w:val="3"/>
        </w:numPr>
        <w:tabs>
          <w:tab w:val="left" w:pos="284"/>
        </w:tabs>
        <w:spacing w:after="0" w:line="240" w:lineRule="auto"/>
        <w:ind w:left="0" w:firstLine="0"/>
        <w:jc w:val="both"/>
        <w:rPr>
          <w:rFonts w:ascii="Times New Roman" w:hAnsi="Times New Roman" w:cs="Times New Roman"/>
          <w:color w:val="000000" w:themeColor="text1"/>
          <w:sz w:val="28"/>
          <w:szCs w:val="28"/>
          <w:lang w:val="fr-FR"/>
        </w:rPr>
      </w:pPr>
      <w:r w:rsidRPr="000D0B88">
        <w:rPr>
          <w:rFonts w:ascii="Times New Roman" w:hAnsi="Times New Roman" w:cs="Times New Roman"/>
          <w:color w:val="000000" w:themeColor="text1"/>
          <w:sz w:val="28"/>
          <w:szCs w:val="28"/>
          <w:lang w:val="fr-FR"/>
        </w:rPr>
        <w:lastRenderedPageBreak/>
        <w:t xml:space="preserve">ont constaté que l'infection à VIH demeure un problème mondial pour tous les pays et exige de la part de la communauté médicale </w:t>
      </w:r>
      <w:r w:rsidRPr="000D0B88">
        <w:rPr>
          <w:rFonts w:ascii="Times New Roman" w:hAnsi="Times New Roman" w:cs="Times New Roman"/>
          <w:color w:val="000000" w:themeColor="text1"/>
          <w:sz w:val="28"/>
          <w:szCs w:val="28"/>
          <w:lang w:val="fr-FR"/>
        </w:rPr>
        <w:t>la résolution de nombreuses questions. Celles-ci incluent la prévention de la transmission intra-utérine, l'amélioration des mesures préventives et la vaccination des personnes vivant avec le VIH</w:t>
      </w:r>
      <w:r w:rsidR="000D0B88">
        <w:rPr>
          <w:rFonts w:ascii="Times New Roman" w:hAnsi="Times New Roman" w:cs="Times New Roman"/>
          <w:color w:val="000000" w:themeColor="text1"/>
          <w:sz w:val="28"/>
          <w:szCs w:val="28"/>
          <w:lang w:val="fr-FR"/>
        </w:rPr>
        <w:t> ;</w:t>
      </w:r>
    </w:p>
    <w:p w14:paraId="2511C729" w14:textId="029F5937" w:rsidR="009D6CC4" w:rsidRPr="000D0B88" w:rsidRDefault="000A545B" w:rsidP="00354981">
      <w:pPr>
        <w:pStyle w:val="msonormalmrcssattr"/>
        <w:numPr>
          <w:ilvl w:val="0"/>
          <w:numId w:val="3"/>
        </w:numPr>
        <w:shd w:val="clear" w:color="auto" w:fill="FFFFFF"/>
        <w:tabs>
          <w:tab w:val="left" w:pos="284"/>
        </w:tabs>
        <w:spacing w:before="0" w:beforeAutospacing="0" w:after="0" w:afterAutospacing="0"/>
        <w:ind w:left="0" w:firstLine="0"/>
        <w:jc w:val="both"/>
        <w:rPr>
          <w:sz w:val="28"/>
          <w:szCs w:val="28"/>
          <w:lang w:val="fr-FR"/>
        </w:rPr>
      </w:pPr>
      <w:r w:rsidRPr="000D0B88">
        <w:rPr>
          <w:color w:val="000000" w:themeColor="text1"/>
          <w:sz w:val="28"/>
          <w:szCs w:val="28"/>
          <w:lang w:val="fr-FR"/>
        </w:rPr>
        <w:t>ont confirmé l'efficacité de la coopération internationale</w:t>
      </w:r>
      <w:r w:rsidRPr="000D0B88">
        <w:rPr>
          <w:color w:val="000000" w:themeColor="text1"/>
          <w:sz w:val="28"/>
          <w:szCs w:val="28"/>
          <w:lang w:val="fr-FR"/>
        </w:rPr>
        <w:t xml:space="preserve"> dans la lutte contre les maladies infectieuses, laquelle inclut une riposte rapide aux situations d'urgence</w:t>
      </w:r>
      <w:r w:rsidR="00611A65" w:rsidRPr="000D0B88">
        <w:rPr>
          <w:sz w:val="28"/>
          <w:szCs w:val="28"/>
          <w:lang w:val="fr-FR"/>
        </w:rPr>
        <w:t>. Cette efficacité est illustrée par le travail des centres conjoints à l'étranger, fonctionnant dans le cadre du projet fédéral « Bouclier Sanitaire »</w:t>
      </w:r>
      <w:r w:rsidR="000D0B88">
        <w:rPr>
          <w:sz w:val="28"/>
          <w:szCs w:val="28"/>
          <w:lang w:val="fr-FR"/>
        </w:rPr>
        <w:t> ;</w:t>
      </w:r>
    </w:p>
    <w:p w14:paraId="22707585" w14:textId="6215FE3F" w:rsidR="003F3BFB" w:rsidRPr="000D0B88" w:rsidRDefault="000A545B" w:rsidP="00354981">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fr-FR"/>
        </w:rPr>
      </w:pPr>
      <w:r w:rsidRPr="000D0B88">
        <w:rPr>
          <w:rFonts w:ascii="Times New Roman" w:hAnsi="Times New Roman" w:cs="Times New Roman"/>
          <w:sz w:val="28"/>
          <w:szCs w:val="28"/>
          <w:lang w:val="fr-FR"/>
        </w:rPr>
        <w:t xml:space="preserve">ont souligné que les technologies mobiles modernes, fournies par le Rospotrebnadzor aux pays partenaires pour assurer la sécurité biologique, permettent aux experts de travailler directement dans les foyers de maladies infectieuses. Ceci accélère </w:t>
      </w:r>
      <w:r w:rsidRPr="000D0B88">
        <w:rPr>
          <w:rFonts w:ascii="Times New Roman" w:hAnsi="Times New Roman" w:cs="Times New Roman"/>
          <w:sz w:val="28"/>
          <w:szCs w:val="28"/>
          <w:lang w:val="fr-FR"/>
        </w:rPr>
        <w:t>considérablement l'identification étiologique des flambées et améliore le niveau ainsi que la capacité des analyses de laboratoire</w:t>
      </w:r>
      <w:r w:rsidR="000D0B88">
        <w:rPr>
          <w:rFonts w:ascii="Times New Roman" w:hAnsi="Times New Roman" w:cs="Times New Roman"/>
          <w:sz w:val="28"/>
          <w:szCs w:val="28"/>
          <w:lang w:val="fr-FR"/>
        </w:rPr>
        <w:t> ;</w:t>
      </w:r>
      <w:r w:rsidRPr="000D0B88">
        <w:rPr>
          <w:rFonts w:ascii="Times New Roman" w:hAnsi="Times New Roman" w:cs="Times New Roman"/>
          <w:sz w:val="28"/>
          <w:szCs w:val="28"/>
          <w:lang w:val="fr-FR"/>
        </w:rPr>
        <w:t xml:space="preserve"> </w:t>
      </w:r>
    </w:p>
    <w:p w14:paraId="0272D74C" w14:textId="76782871" w:rsidR="00B6300E" w:rsidRPr="000D0B88" w:rsidRDefault="000A545B" w:rsidP="00354981">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fr-FR"/>
        </w:rPr>
      </w:pPr>
      <w:r w:rsidRPr="000D0B88">
        <w:rPr>
          <w:rFonts w:ascii="Times New Roman" w:hAnsi="Times New Roman" w:cs="Times New Roman"/>
          <w:sz w:val="28"/>
          <w:szCs w:val="28"/>
          <w:lang w:val="fr-FR"/>
        </w:rPr>
        <w:t>ont une nouvelle fois mis en évidence le lourd fardeau que représente le problème de la résistance des agents pathogènes a</w:t>
      </w:r>
      <w:r w:rsidRPr="000D0B88">
        <w:rPr>
          <w:rFonts w:ascii="Times New Roman" w:hAnsi="Times New Roman" w:cs="Times New Roman"/>
          <w:sz w:val="28"/>
          <w:szCs w:val="28"/>
          <w:lang w:val="fr-FR"/>
        </w:rPr>
        <w:t xml:space="preserve">ux médicaments antimicrobiens, soulignant son caractère mondial et son impact critique sur l'évolution des infections, y compris des infections des plaies. </w:t>
      </w:r>
    </w:p>
    <w:p w14:paraId="7176CA2B" w14:textId="4A87DCAD" w:rsidR="001D2CFF" w:rsidRPr="000D0B88" w:rsidRDefault="000D0B88" w:rsidP="001D2CFF">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fr-FR"/>
        </w:rPr>
      </w:pPr>
      <w:r>
        <w:rPr>
          <w:rFonts w:ascii="Times New Roman" w:hAnsi="Times New Roman" w:cs="Times New Roman"/>
          <w:sz w:val="28"/>
          <w:szCs w:val="28"/>
          <w:lang w:val="fr-FR"/>
        </w:rPr>
        <w:t>t</w:t>
      </w:r>
      <w:r w:rsidRPr="000D0B88">
        <w:rPr>
          <w:rFonts w:ascii="Times New Roman" w:hAnsi="Times New Roman" w:cs="Times New Roman"/>
          <w:sz w:val="28"/>
          <w:szCs w:val="28"/>
          <w:lang w:val="fr-FR"/>
        </w:rPr>
        <w:t>out en reconnaissant les progrès incontestables du développement de la Biologie synthétique, ont souligné la nécessité d'une évaluation complète des conséquences probables de leur introduction dans divers domaines de la vie, y compris la médecine</w:t>
      </w:r>
      <w:r>
        <w:rPr>
          <w:rFonts w:ascii="Times New Roman" w:hAnsi="Times New Roman" w:cs="Times New Roman"/>
          <w:sz w:val="28"/>
          <w:szCs w:val="28"/>
          <w:lang w:val="fr-FR"/>
        </w:rPr>
        <w:t> ;</w:t>
      </w:r>
    </w:p>
    <w:p w14:paraId="47F0C523" w14:textId="54AC0321" w:rsidR="00732D78" w:rsidRPr="000D0B88" w:rsidRDefault="000D0B88" w:rsidP="000D0B88">
      <w:pPr>
        <w:pStyle w:val="a9"/>
        <w:numPr>
          <w:ilvl w:val="0"/>
          <w:numId w:val="3"/>
        </w:numPr>
        <w:tabs>
          <w:tab w:val="left" w:pos="284"/>
        </w:tabs>
        <w:spacing w:after="0" w:line="240" w:lineRule="auto"/>
        <w:ind w:left="0" w:firstLine="0"/>
        <w:jc w:val="both"/>
        <w:rPr>
          <w:rFonts w:ascii="Times New Roman" w:hAnsi="Times New Roman" w:cs="Times New Roman"/>
          <w:sz w:val="28"/>
          <w:szCs w:val="28"/>
          <w:lang w:val="fr-FR"/>
        </w:rPr>
      </w:pPr>
      <w:r w:rsidRPr="000D0B88">
        <w:rPr>
          <w:rFonts w:ascii="Times New Roman" w:hAnsi="Times New Roman" w:cs="Times New Roman"/>
          <w:sz w:val="28"/>
          <w:szCs w:val="28"/>
          <w:lang w:val="fr-FR"/>
        </w:rPr>
        <w:t xml:space="preserve"> ont souligné que la VIe Conférence constitue une plateforme ouverte et efficace pour l'échange d'expériences visant à protéger la vie et la santé des populations dans les différentes régions du monde, ainsi que pour l'adoption de décisions concertées dans la lutte collective contre les infections.</w:t>
      </w:r>
      <w:r w:rsidR="009B4B86">
        <w:rPr>
          <w:rFonts w:ascii="Times New Roman" w:hAnsi="Times New Roman" w:cs="Times New Roman"/>
          <w:sz w:val="28"/>
          <w:szCs w:val="28"/>
          <w:lang w:val="fr-FR"/>
        </w:rPr>
        <w:t xml:space="preserve"> </w:t>
      </w:r>
    </w:p>
    <w:p w14:paraId="6B1E2D02" w14:textId="77777777" w:rsidR="001D2CFF" w:rsidRPr="000D0B88" w:rsidRDefault="001D2CFF" w:rsidP="001D2CFF">
      <w:pPr>
        <w:pStyle w:val="msonormalmrcssattr"/>
        <w:shd w:val="clear" w:color="auto" w:fill="FFFFFF"/>
        <w:tabs>
          <w:tab w:val="left" w:pos="284"/>
        </w:tabs>
        <w:spacing w:before="0" w:beforeAutospacing="0" w:after="0" w:afterAutospacing="0"/>
        <w:jc w:val="both"/>
        <w:rPr>
          <w:sz w:val="28"/>
          <w:szCs w:val="28"/>
          <w:lang w:val="fr-FR"/>
        </w:rPr>
      </w:pPr>
    </w:p>
    <w:p w14:paraId="16C087D5" w14:textId="77777777" w:rsidR="001D2CFF" w:rsidRPr="000D0B88" w:rsidRDefault="001D2CFF" w:rsidP="001D2CFF">
      <w:pPr>
        <w:pStyle w:val="msonormalmrcssattr"/>
        <w:shd w:val="clear" w:color="auto" w:fill="FFFFFF"/>
        <w:tabs>
          <w:tab w:val="left" w:pos="284"/>
        </w:tabs>
        <w:spacing w:before="0" w:beforeAutospacing="0" w:after="0" w:afterAutospacing="0"/>
        <w:jc w:val="both"/>
        <w:rPr>
          <w:sz w:val="28"/>
          <w:szCs w:val="28"/>
          <w:lang w:val="fr-FR"/>
        </w:rPr>
      </w:pPr>
    </w:p>
    <w:p w14:paraId="56EAC2DB" w14:textId="77777777" w:rsidR="001D2CFF" w:rsidRPr="000D0B88" w:rsidRDefault="001D2CFF" w:rsidP="001D2CFF">
      <w:pPr>
        <w:pStyle w:val="msonormalmrcssattr"/>
        <w:shd w:val="clear" w:color="auto" w:fill="FFFFFF"/>
        <w:tabs>
          <w:tab w:val="left" w:pos="284"/>
        </w:tabs>
        <w:spacing w:before="0" w:beforeAutospacing="0" w:after="0" w:afterAutospacing="0"/>
        <w:jc w:val="both"/>
        <w:rPr>
          <w:sz w:val="28"/>
          <w:szCs w:val="28"/>
          <w:lang w:val="fr-FR"/>
        </w:rPr>
      </w:pPr>
    </w:p>
    <w:p w14:paraId="0F510F5A" w14:textId="77777777" w:rsidR="001D2CFF" w:rsidRPr="000D0B88" w:rsidRDefault="001D2CFF" w:rsidP="001D2CFF">
      <w:pPr>
        <w:pStyle w:val="msonormalmrcssattr"/>
        <w:shd w:val="clear" w:color="auto" w:fill="FFFFFF"/>
        <w:tabs>
          <w:tab w:val="left" w:pos="284"/>
        </w:tabs>
        <w:spacing w:before="0" w:beforeAutospacing="0" w:after="0" w:afterAutospacing="0"/>
        <w:jc w:val="both"/>
        <w:rPr>
          <w:sz w:val="28"/>
          <w:szCs w:val="28"/>
          <w:lang w:val="fr-FR"/>
        </w:rPr>
      </w:pPr>
    </w:p>
    <w:p w14:paraId="6668E0EA" w14:textId="77777777" w:rsidR="001D2CFF" w:rsidRPr="000D0B88" w:rsidRDefault="001D2CFF" w:rsidP="001D2CFF">
      <w:pPr>
        <w:pStyle w:val="msonormalmrcssattr"/>
        <w:shd w:val="clear" w:color="auto" w:fill="FFFFFF"/>
        <w:tabs>
          <w:tab w:val="left" w:pos="284"/>
        </w:tabs>
        <w:spacing w:before="0" w:beforeAutospacing="0" w:after="0" w:afterAutospacing="0"/>
        <w:jc w:val="both"/>
        <w:rPr>
          <w:sz w:val="28"/>
          <w:szCs w:val="28"/>
          <w:lang w:val="fr-FR"/>
        </w:rPr>
      </w:pPr>
    </w:p>
    <w:sectPr w:rsidR="001D2CFF" w:rsidRPr="000D0B88" w:rsidSect="000D2941">
      <w:headerReference w:type="default" r:id="rId8"/>
      <w:pgSz w:w="11906" w:h="16838"/>
      <w:pgMar w:top="426" w:right="850"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0E67E" w14:textId="77777777" w:rsidR="0046283D" w:rsidRDefault="0046283D">
      <w:pPr>
        <w:spacing w:after="0" w:line="240" w:lineRule="auto"/>
      </w:pPr>
      <w:r>
        <w:separator/>
      </w:r>
    </w:p>
  </w:endnote>
  <w:endnote w:type="continuationSeparator" w:id="0">
    <w:p w14:paraId="5AD7C6C6" w14:textId="77777777" w:rsidR="0046283D" w:rsidRDefault="0046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6E1A9" w14:textId="77777777" w:rsidR="0046283D" w:rsidRDefault="0046283D">
      <w:pPr>
        <w:spacing w:after="0" w:line="240" w:lineRule="auto"/>
      </w:pPr>
      <w:r>
        <w:separator/>
      </w:r>
    </w:p>
  </w:footnote>
  <w:footnote w:type="continuationSeparator" w:id="0">
    <w:p w14:paraId="1B6F7452" w14:textId="77777777" w:rsidR="0046283D" w:rsidRDefault="0046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953634"/>
      <w:docPartObj>
        <w:docPartGallery w:val="Page Numbers (Top of Page)"/>
        <w:docPartUnique/>
      </w:docPartObj>
    </w:sdtPr>
    <w:sdtEndPr>
      <w:rPr>
        <w:rFonts w:ascii="Times New Roman" w:hAnsi="Times New Roman" w:cs="Times New Roman"/>
      </w:rPr>
    </w:sdtEndPr>
    <w:sdtContent>
      <w:p w14:paraId="22C6AA45" w14:textId="6E9B4217" w:rsidR="00545C5C" w:rsidRPr="003C3F78" w:rsidRDefault="000A545B">
        <w:pPr>
          <w:pStyle w:val="a3"/>
          <w:jc w:val="center"/>
          <w:rPr>
            <w:rFonts w:ascii="Times New Roman" w:hAnsi="Times New Roman" w:cs="Times New Roman"/>
          </w:rPr>
        </w:pPr>
        <w:r w:rsidRPr="003C3F78">
          <w:rPr>
            <w:rFonts w:ascii="Times New Roman" w:hAnsi="Times New Roman" w:cs="Times New Roman"/>
          </w:rPr>
          <w:fldChar w:fldCharType="begin"/>
        </w:r>
        <w:r w:rsidRPr="003C3F78">
          <w:rPr>
            <w:rFonts w:ascii="Times New Roman" w:hAnsi="Times New Roman" w:cs="Times New Roman"/>
          </w:rPr>
          <w:instrText>PAGE   \* MERGEFORMAT</w:instrText>
        </w:r>
        <w:r w:rsidRPr="003C3F78">
          <w:rPr>
            <w:rFonts w:ascii="Times New Roman" w:hAnsi="Times New Roman" w:cs="Times New Roman"/>
          </w:rPr>
          <w:fldChar w:fldCharType="separate"/>
        </w:r>
        <w:r>
          <w:rPr>
            <w:rFonts w:ascii="Times New Roman" w:hAnsi="Times New Roman" w:cs="Times New Roman"/>
            <w:noProof/>
          </w:rPr>
          <w:t>2</w:t>
        </w:r>
        <w:r w:rsidRPr="003C3F78">
          <w:rPr>
            <w:rFonts w:ascii="Times New Roman" w:hAnsi="Times New Roman" w:cs="Times New Roman"/>
          </w:rPr>
          <w:fldChar w:fldCharType="end"/>
        </w:r>
      </w:p>
    </w:sdtContent>
  </w:sdt>
  <w:p w14:paraId="78920259" w14:textId="77777777" w:rsidR="00545C5C" w:rsidRDefault="00545C5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1AE3"/>
    <w:multiLevelType w:val="hybridMultilevel"/>
    <w:tmpl w:val="31A87FD2"/>
    <w:lvl w:ilvl="0" w:tplc="F22C4C7C">
      <w:start w:val="1"/>
      <w:numFmt w:val="decimal"/>
      <w:lvlText w:val="%1."/>
      <w:lvlJc w:val="left"/>
      <w:pPr>
        <w:ind w:left="720" w:hanging="360"/>
      </w:pPr>
      <w:rPr>
        <w:rFonts w:cs="Times New Roman"/>
        <w:b w:val="0"/>
        <w:bCs/>
      </w:rPr>
    </w:lvl>
    <w:lvl w:ilvl="1" w:tplc="9368730C">
      <w:start w:val="1"/>
      <w:numFmt w:val="lowerLetter"/>
      <w:lvlText w:val="%2."/>
      <w:lvlJc w:val="left"/>
      <w:pPr>
        <w:ind w:left="1440" w:hanging="360"/>
      </w:pPr>
      <w:rPr>
        <w:rFonts w:cs="Times New Roman"/>
      </w:rPr>
    </w:lvl>
    <w:lvl w:ilvl="2" w:tplc="3552D126">
      <w:start w:val="1"/>
      <w:numFmt w:val="lowerRoman"/>
      <w:lvlText w:val="%3."/>
      <w:lvlJc w:val="right"/>
      <w:pPr>
        <w:ind w:left="2160" w:hanging="180"/>
      </w:pPr>
      <w:rPr>
        <w:rFonts w:cs="Times New Roman"/>
      </w:rPr>
    </w:lvl>
    <w:lvl w:ilvl="3" w:tplc="1A64D4A4">
      <w:start w:val="1"/>
      <w:numFmt w:val="decimal"/>
      <w:lvlText w:val="%4."/>
      <w:lvlJc w:val="left"/>
      <w:pPr>
        <w:ind w:left="2880" w:hanging="360"/>
      </w:pPr>
      <w:rPr>
        <w:rFonts w:cs="Times New Roman"/>
      </w:rPr>
    </w:lvl>
    <w:lvl w:ilvl="4" w:tplc="1C6252EE">
      <w:start w:val="1"/>
      <w:numFmt w:val="lowerLetter"/>
      <w:lvlText w:val="%5."/>
      <w:lvlJc w:val="left"/>
      <w:pPr>
        <w:ind w:left="3600" w:hanging="360"/>
      </w:pPr>
      <w:rPr>
        <w:rFonts w:cs="Times New Roman"/>
      </w:rPr>
    </w:lvl>
    <w:lvl w:ilvl="5" w:tplc="E1B2E5C6">
      <w:start w:val="1"/>
      <w:numFmt w:val="lowerRoman"/>
      <w:lvlText w:val="%6."/>
      <w:lvlJc w:val="right"/>
      <w:pPr>
        <w:ind w:left="4320" w:hanging="180"/>
      </w:pPr>
      <w:rPr>
        <w:rFonts w:cs="Times New Roman"/>
      </w:rPr>
    </w:lvl>
    <w:lvl w:ilvl="6" w:tplc="949A4230">
      <w:start w:val="1"/>
      <w:numFmt w:val="decimal"/>
      <w:lvlText w:val="%7."/>
      <w:lvlJc w:val="left"/>
      <w:pPr>
        <w:ind w:left="5040" w:hanging="360"/>
      </w:pPr>
      <w:rPr>
        <w:rFonts w:cs="Times New Roman"/>
      </w:rPr>
    </w:lvl>
    <w:lvl w:ilvl="7" w:tplc="79286624">
      <w:start w:val="1"/>
      <w:numFmt w:val="lowerLetter"/>
      <w:lvlText w:val="%8."/>
      <w:lvlJc w:val="left"/>
      <w:pPr>
        <w:ind w:left="5760" w:hanging="360"/>
      </w:pPr>
      <w:rPr>
        <w:rFonts w:cs="Times New Roman"/>
      </w:rPr>
    </w:lvl>
    <w:lvl w:ilvl="8" w:tplc="04B02E24">
      <w:start w:val="1"/>
      <w:numFmt w:val="lowerRoman"/>
      <w:lvlText w:val="%9."/>
      <w:lvlJc w:val="right"/>
      <w:pPr>
        <w:ind w:left="6480" w:hanging="180"/>
      </w:pPr>
      <w:rPr>
        <w:rFonts w:cs="Times New Roman"/>
      </w:rPr>
    </w:lvl>
  </w:abstractNum>
  <w:abstractNum w:abstractNumId="1" w15:restartNumberingAfterBreak="0">
    <w:nsid w:val="547C72D6"/>
    <w:multiLevelType w:val="hybridMultilevel"/>
    <w:tmpl w:val="6D5829A6"/>
    <w:lvl w:ilvl="0" w:tplc="9012A19A">
      <w:start w:val="1"/>
      <w:numFmt w:val="decimal"/>
      <w:lvlText w:val="%1."/>
      <w:lvlJc w:val="left"/>
      <w:pPr>
        <w:ind w:left="720" w:hanging="360"/>
      </w:pPr>
    </w:lvl>
    <w:lvl w:ilvl="1" w:tplc="3BC68034" w:tentative="1">
      <w:start w:val="1"/>
      <w:numFmt w:val="lowerLetter"/>
      <w:lvlText w:val="%2."/>
      <w:lvlJc w:val="left"/>
      <w:pPr>
        <w:ind w:left="1440" w:hanging="360"/>
      </w:pPr>
    </w:lvl>
    <w:lvl w:ilvl="2" w:tplc="CA4C7102" w:tentative="1">
      <w:start w:val="1"/>
      <w:numFmt w:val="lowerRoman"/>
      <w:lvlText w:val="%3."/>
      <w:lvlJc w:val="right"/>
      <w:pPr>
        <w:ind w:left="2160" w:hanging="180"/>
      </w:pPr>
    </w:lvl>
    <w:lvl w:ilvl="3" w:tplc="ECA88350" w:tentative="1">
      <w:start w:val="1"/>
      <w:numFmt w:val="decimal"/>
      <w:lvlText w:val="%4."/>
      <w:lvlJc w:val="left"/>
      <w:pPr>
        <w:ind w:left="2880" w:hanging="360"/>
      </w:pPr>
    </w:lvl>
    <w:lvl w:ilvl="4" w:tplc="1D3C0460" w:tentative="1">
      <w:start w:val="1"/>
      <w:numFmt w:val="lowerLetter"/>
      <w:lvlText w:val="%5."/>
      <w:lvlJc w:val="left"/>
      <w:pPr>
        <w:ind w:left="3600" w:hanging="360"/>
      </w:pPr>
    </w:lvl>
    <w:lvl w:ilvl="5" w:tplc="597097CE" w:tentative="1">
      <w:start w:val="1"/>
      <w:numFmt w:val="lowerRoman"/>
      <w:lvlText w:val="%6."/>
      <w:lvlJc w:val="right"/>
      <w:pPr>
        <w:ind w:left="4320" w:hanging="180"/>
      </w:pPr>
    </w:lvl>
    <w:lvl w:ilvl="6" w:tplc="3DEE2130" w:tentative="1">
      <w:start w:val="1"/>
      <w:numFmt w:val="decimal"/>
      <w:lvlText w:val="%7."/>
      <w:lvlJc w:val="left"/>
      <w:pPr>
        <w:ind w:left="5040" w:hanging="360"/>
      </w:pPr>
    </w:lvl>
    <w:lvl w:ilvl="7" w:tplc="B88C5A86" w:tentative="1">
      <w:start w:val="1"/>
      <w:numFmt w:val="lowerLetter"/>
      <w:lvlText w:val="%8."/>
      <w:lvlJc w:val="left"/>
      <w:pPr>
        <w:ind w:left="5760" w:hanging="360"/>
      </w:pPr>
    </w:lvl>
    <w:lvl w:ilvl="8" w:tplc="2516319E" w:tentative="1">
      <w:start w:val="1"/>
      <w:numFmt w:val="lowerRoman"/>
      <w:lvlText w:val="%9."/>
      <w:lvlJc w:val="right"/>
      <w:pPr>
        <w:ind w:left="6480" w:hanging="180"/>
      </w:pPr>
    </w:lvl>
  </w:abstractNum>
  <w:abstractNum w:abstractNumId="2" w15:restartNumberingAfterBreak="0">
    <w:nsid w:val="69BC3151"/>
    <w:multiLevelType w:val="hybridMultilevel"/>
    <w:tmpl w:val="7B70E67E"/>
    <w:lvl w:ilvl="0" w:tplc="7D1409EA">
      <w:start w:val="1"/>
      <w:numFmt w:val="decimal"/>
      <w:lvlText w:val="%1."/>
      <w:lvlJc w:val="left"/>
      <w:pPr>
        <w:ind w:left="1114" w:hanging="405"/>
      </w:pPr>
      <w:rPr>
        <w:rFonts w:hint="default"/>
      </w:rPr>
    </w:lvl>
    <w:lvl w:ilvl="1" w:tplc="AA040F40" w:tentative="1">
      <w:start w:val="1"/>
      <w:numFmt w:val="lowerLetter"/>
      <w:lvlText w:val="%2."/>
      <w:lvlJc w:val="left"/>
      <w:pPr>
        <w:ind w:left="1789" w:hanging="360"/>
      </w:pPr>
    </w:lvl>
    <w:lvl w:ilvl="2" w:tplc="90EAD18E" w:tentative="1">
      <w:start w:val="1"/>
      <w:numFmt w:val="lowerRoman"/>
      <w:lvlText w:val="%3."/>
      <w:lvlJc w:val="right"/>
      <w:pPr>
        <w:ind w:left="2509" w:hanging="180"/>
      </w:pPr>
    </w:lvl>
    <w:lvl w:ilvl="3" w:tplc="B448B3C2" w:tentative="1">
      <w:start w:val="1"/>
      <w:numFmt w:val="decimal"/>
      <w:lvlText w:val="%4."/>
      <w:lvlJc w:val="left"/>
      <w:pPr>
        <w:ind w:left="3229" w:hanging="360"/>
      </w:pPr>
    </w:lvl>
    <w:lvl w:ilvl="4" w:tplc="8EC0021E" w:tentative="1">
      <w:start w:val="1"/>
      <w:numFmt w:val="lowerLetter"/>
      <w:lvlText w:val="%5."/>
      <w:lvlJc w:val="left"/>
      <w:pPr>
        <w:ind w:left="3949" w:hanging="360"/>
      </w:pPr>
    </w:lvl>
    <w:lvl w:ilvl="5" w:tplc="871A87D0" w:tentative="1">
      <w:start w:val="1"/>
      <w:numFmt w:val="lowerRoman"/>
      <w:lvlText w:val="%6."/>
      <w:lvlJc w:val="right"/>
      <w:pPr>
        <w:ind w:left="4669" w:hanging="180"/>
      </w:pPr>
    </w:lvl>
    <w:lvl w:ilvl="6" w:tplc="C15EE4CA" w:tentative="1">
      <w:start w:val="1"/>
      <w:numFmt w:val="decimal"/>
      <w:lvlText w:val="%7."/>
      <w:lvlJc w:val="left"/>
      <w:pPr>
        <w:ind w:left="5389" w:hanging="360"/>
      </w:pPr>
    </w:lvl>
    <w:lvl w:ilvl="7" w:tplc="C9A6811C" w:tentative="1">
      <w:start w:val="1"/>
      <w:numFmt w:val="lowerLetter"/>
      <w:lvlText w:val="%8."/>
      <w:lvlJc w:val="left"/>
      <w:pPr>
        <w:ind w:left="6109" w:hanging="360"/>
      </w:pPr>
    </w:lvl>
    <w:lvl w:ilvl="8" w:tplc="79F055C6"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EEE"/>
    <w:rsid w:val="0001227A"/>
    <w:rsid w:val="00017CD2"/>
    <w:rsid w:val="00020CE5"/>
    <w:rsid w:val="00020ECC"/>
    <w:rsid w:val="000240E2"/>
    <w:rsid w:val="00030E76"/>
    <w:rsid w:val="000363F8"/>
    <w:rsid w:val="00036BF2"/>
    <w:rsid w:val="00062718"/>
    <w:rsid w:val="0006397A"/>
    <w:rsid w:val="000652CF"/>
    <w:rsid w:val="00070418"/>
    <w:rsid w:val="00092268"/>
    <w:rsid w:val="000922DE"/>
    <w:rsid w:val="000969A9"/>
    <w:rsid w:val="000A318E"/>
    <w:rsid w:val="000A4F28"/>
    <w:rsid w:val="000A545B"/>
    <w:rsid w:val="000C6F9E"/>
    <w:rsid w:val="000D0B88"/>
    <w:rsid w:val="000D2941"/>
    <w:rsid w:val="000D50B8"/>
    <w:rsid w:val="00110AF1"/>
    <w:rsid w:val="001153AF"/>
    <w:rsid w:val="00115D31"/>
    <w:rsid w:val="00135345"/>
    <w:rsid w:val="001435D2"/>
    <w:rsid w:val="00154C95"/>
    <w:rsid w:val="0015550E"/>
    <w:rsid w:val="00180FFA"/>
    <w:rsid w:val="00182E0D"/>
    <w:rsid w:val="00183C6D"/>
    <w:rsid w:val="00183D9E"/>
    <w:rsid w:val="00185896"/>
    <w:rsid w:val="00187BA4"/>
    <w:rsid w:val="00190B48"/>
    <w:rsid w:val="001934AF"/>
    <w:rsid w:val="00196148"/>
    <w:rsid w:val="001A1F42"/>
    <w:rsid w:val="001B435F"/>
    <w:rsid w:val="001D2CFF"/>
    <w:rsid w:val="001E1FAE"/>
    <w:rsid w:val="001F083E"/>
    <w:rsid w:val="00205E17"/>
    <w:rsid w:val="002341D2"/>
    <w:rsid w:val="00266768"/>
    <w:rsid w:val="00270052"/>
    <w:rsid w:val="00274EEE"/>
    <w:rsid w:val="002A154B"/>
    <w:rsid w:val="002A5FCA"/>
    <w:rsid w:val="002A7006"/>
    <w:rsid w:val="002B080E"/>
    <w:rsid w:val="002C2A56"/>
    <w:rsid w:val="002D5806"/>
    <w:rsid w:val="002E5F48"/>
    <w:rsid w:val="002E6CBA"/>
    <w:rsid w:val="002E6E3F"/>
    <w:rsid w:val="002F141A"/>
    <w:rsid w:val="003068F0"/>
    <w:rsid w:val="003140FD"/>
    <w:rsid w:val="00315882"/>
    <w:rsid w:val="00320629"/>
    <w:rsid w:val="003268AD"/>
    <w:rsid w:val="00344A1E"/>
    <w:rsid w:val="0034521A"/>
    <w:rsid w:val="00354981"/>
    <w:rsid w:val="00361289"/>
    <w:rsid w:val="003720D0"/>
    <w:rsid w:val="00385E32"/>
    <w:rsid w:val="00387BD8"/>
    <w:rsid w:val="00392D15"/>
    <w:rsid w:val="003B0440"/>
    <w:rsid w:val="003B0C8E"/>
    <w:rsid w:val="003B3E8D"/>
    <w:rsid w:val="003B3F5D"/>
    <w:rsid w:val="003C2543"/>
    <w:rsid w:val="003C3F78"/>
    <w:rsid w:val="003D56ED"/>
    <w:rsid w:val="003D75B4"/>
    <w:rsid w:val="003D7676"/>
    <w:rsid w:val="003E11CF"/>
    <w:rsid w:val="003F3BFB"/>
    <w:rsid w:val="00412D5D"/>
    <w:rsid w:val="00440E9B"/>
    <w:rsid w:val="00443836"/>
    <w:rsid w:val="00454E98"/>
    <w:rsid w:val="004557A9"/>
    <w:rsid w:val="0046283D"/>
    <w:rsid w:val="004D52BB"/>
    <w:rsid w:val="004E0125"/>
    <w:rsid w:val="004E64BB"/>
    <w:rsid w:val="004F48DA"/>
    <w:rsid w:val="00503D97"/>
    <w:rsid w:val="00532BB8"/>
    <w:rsid w:val="005364B1"/>
    <w:rsid w:val="00540E50"/>
    <w:rsid w:val="00542BF9"/>
    <w:rsid w:val="00545C5C"/>
    <w:rsid w:val="005503BA"/>
    <w:rsid w:val="005534BB"/>
    <w:rsid w:val="0056703E"/>
    <w:rsid w:val="00570C38"/>
    <w:rsid w:val="00573B53"/>
    <w:rsid w:val="005A367A"/>
    <w:rsid w:val="005C3BA6"/>
    <w:rsid w:val="005D0CE0"/>
    <w:rsid w:val="005E0D9A"/>
    <w:rsid w:val="005E274C"/>
    <w:rsid w:val="005E44BB"/>
    <w:rsid w:val="005F0B1B"/>
    <w:rsid w:val="00611A65"/>
    <w:rsid w:val="00615DC5"/>
    <w:rsid w:val="00620EA4"/>
    <w:rsid w:val="006211DF"/>
    <w:rsid w:val="006318EC"/>
    <w:rsid w:val="00647C62"/>
    <w:rsid w:val="00653BD3"/>
    <w:rsid w:val="00653E47"/>
    <w:rsid w:val="0065623E"/>
    <w:rsid w:val="00687A66"/>
    <w:rsid w:val="00695AA0"/>
    <w:rsid w:val="006B22E6"/>
    <w:rsid w:val="006B40CD"/>
    <w:rsid w:val="006C475B"/>
    <w:rsid w:val="006E67D1"/>
    <w:rsid w:val="006F5AD5"/>
    <w:rsid w:val="007156EC"/>
    <w:rsid w:val="007207AD"/>
    <w:rsid w:val="007239CA"/>
    <w:rsid w:val="00732D78"/>
    <w:rsid w:val="007342F1"/>
    <w:rsid w:val="00735101"/>
    <w:rsid w:val="0074382E"/>
    <w:rsid w:val="00745C55"/>
    <w:rsid w:val="00746C32"/>
    <w:rsid w:val="00753D88"/>
    <w:rsid w:val="00755782"/>
    <w:rsid w:val="0075645A"/>
    <w:rsid w:val="007675AC"/>
    <w:rsid w:val="007F10FC"/>
    <w:rsid w:val="00803747"/>
    <w:rsid w:val="0080516B"/>
    <w:rsid w:val="00805ADC"/>
    <w:rsid w:val="00810402"/>
    <w:rsid w:val="00813E7C"/>
    <w:rsid w:val="00814478"/>
    <w:rsid w:val="00816763"/>
    <w:rsid w:val="00825B0C"/>
    <w:rsid w:val="00845DBA"/>
    <w:rsid w:val="008504E0"/>
    <w:rsid w:val="0089310F"/>
    <w:rsid w:val="008948EF"/>
    <w:rsid w:val="008C42FB"/>
    <w:rsid w:val="008C7509"/>
    <w:rsid w:val="009050D5"/>
    <w:rsid w:val="009257E9"/>
    <w:rsid w:val="00930085"/>
    <w:rsid w:val="009633F1"/>
    <w:rsid w:val="00965B67"/>
    <w:rsid w:val="00970EBB"/>
    <w:rsid w:val="0098092E"/>
    <w:rsid w:val="00983187"/>
    <w:rsid w:val="009A6023"/>
    <w:rsid w:val="009B4B86"/>
    <w:rsid w:val="009C4D92"/>
    <w:rsid w:val="009D6CC4"/>
    <w:rsid w:val="009D778A"/>
    <w:rsid w:val="009E4828"/>
    <w:rsid w:val="009F11DC"/>
    <w:rsid w:val="00A06CA4"/>
    <w:rsid w:val="00A079BB"/>
    <w:rsid w:val="00A2128C"/>
    <w:rsid w:val="00A259E3"/>
    <w:rsid w:val="00A27562"/>
    <w:rsid w:val="00A52894"/>
    <w:rsid w:val="00A536EF"/>
    <w:rsid w:val="00A55802"/>
    <w:rsid w:val="00A734CE"/>
    <w:rsid w:val="00A758F9"/>
    <w:rsid w:val="00A811CD"/>
    <w:rsid w:val="00A81735"/>
    <w:rsid w:val="00A877C6"/>
    <w:rsid w:val="00A92CB8"/>
    <w:rsid w:val="00A93ACF"/>
    <w:rsid w:val="00A94D48"/>
    <w:rsid w:val="00AB5856"/>
    <w:rsid w:val="00AC06BA"/>
    <w:rsid w:val="00AD298D"/>
    <w:rsid w:val="00AD7F24"/>
    <w:rsid w:val="00AE0ED6"/>
    <w:rsid w:val="00AF47E2"/>
    <w:rsid w:val="00AF6C51"/>
    <w:rsid w:val="00B137D5"/>
    <w:rsid w:val="00B1527B"/>
    <w:rsid w:val="00B23DA5"/>
    <w:rsid w:val="00B3118C"/>
    <w:rsid w:val="00B41EC9"/>
    <w:rsid w:val="00B6300E"/>
    <w:rsid w:val="00B71FA4"/>
    <w:rsid w:val="00B84BBE"/>
    <w:rsid w:val="00BB66B0"/>
    <w:rsid w:val="00BB6EED"/>
    <w:rsid w:val="00BB7470"/>
    <w:rsid w:val="00BC2FA3"/>
    <w:rsid w:val="00BC6F05"/>
    <w:rsid w:val="00BE0980"/>
    <w:rsid w:val="00C12128"/>
    <w:rsid w:val="00C438E6"/>
    <w:rsid w:val="00C44AA1"/>
    <w:rsid w:val="00C5141C"/>
    <w:rsid w:val="00C52775"/>
    <w:rsid w:val="00C54231"/>
    <w:rsid w:val="00C65A22"/>
    <w:rsid w:val="00C71DD8"/>
    <w:rsid w:val="00C77D06"/>
    <w:rsid w:val="00C93860"/>
    <w:rsid w:val="00C94BC7"/>
    <w:rsid w:val="00CA24C6"/>
    <w:rsid w:val="00CB7FA0"/>
    <w:rsid w:val="00CD21BA"/>
    <w:rsid w:val="00CE2D4A"/>
    <w:rsid w:val="00CF35FD"/>
    <w:rsid w:val="00D24798"/>
    <w:rsid w:val="00D27A93"/>
    <w:rsid w:val="00D46FA7"/>
    <w:rsid w:val="00D472DF"/>
    <w:rsid w:val="00D5141D"/>
    <w:rsid w:val="00D55E84"/>
    <w:rsid w:val="00D5700F"/>
    <w:rsid w:val="00D64CDE"/>
    <w:rsid w:val="00D71BAB"/>
    <w:rsid w:val="00D71EF9"/>
    <w:rsid w:val="00D73AF5"/>
    <w:rsid w:val="00D74DCD"/>
    <w:rsid w:val="00D96BD9"/>
    <w:rsid w:val="00D97B1F"/>
    <w:rsid w:val="00DB6609"/>
    <w:rsid w:val="00DC38B2"/>
    <w:rsid w:val="00DD03A9"/>
    <w:rsid w:val="00DD575B"/>
    <w:rsid w:val="00DD75B0"/>
    <w:rsid w:val="00DE6EFB"/>
    <w:rsid w:val="00DF645D"/>
    <w:rsid w:val="00E06247"/>
    <w:rsid w:val="00E11CDC"/>
    <w:rsid w:val="00E1785D"/>
    <w:rsid w:val="00E279BD"/>
    <w:rsid w:val="00E43EE3"/>
    <w:rsid w:val="00E4759E"/>
    <w:rsid w:val="00E71FE5"/>
    <w:rsid w:val="00E86CC5"/>
    <w:rsid w:val="00E91F49"/>
    <w:rsid w:val="00EA42A0"/>
    <w:rsid w:val="00EA4B2E"/>
    <w:rsid w:val="00EA4B97"/>
    <w:rsid w:val="00EB29B6"/>
    <w:rsid w:val="00EB76E1"/>
    <w:rsid w:val="00EC0AB8"/>
    <w:rsid w:val="00EC6CCF"/>
    <w:rsid w:val="00EC72FC"/>
    <w:rsid w:val="00ED33AF"/>
    <w:rsid w:val="00ED464C"/>
    <w:rsid w:val="00EE1CFF"/>
    <w:rsid w:val="00EE578E"/>
    <w:rsid w:val="00F04FB0"/>
    <w:rsid w:val="00F1276A"/>
    <w:rsid w:val="00F26FB9"/>
    <w:rsid w:val="00F336A3"/>
    <w:rsid w:val="00F36FB6"/>
    <w:rsid w:val="00F452CC"/>
    <w:rsid w:val="00F47B2C"/>
    <w:rsid w:val="00F63D5A"/>
    <w:rsid w:val="00F755B7"/>
    <w:rsid w:val="00F8068F"/>
    <w:rsid w:val="00F81177"/>
    <w:rsid w:val="00F833AB"/>
    <w:rsid w:val="00FC5CE1"/>
    <w:rsid w:val="00FD047C"/>
    <w:rsid w:val="00FD5D11"/>
    <w:rsid w:val="00FE66D5"/>
    <w:rsid w:val="00FF2F21"/>
    <w:rsid w:val="00FF4086"/>
    <w:rsid w:val="00FF573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9605D"/>
  <w15:docId w15:val="{7B5AA018-D37D-4A40-BCDB-E9CFAAA85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rcssattr">
    <w:name w:val="msonormal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firstmrcssattr">
    <w:name w:val="msolistparagraphcxspfirst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rcssattr">
    <w:name w:val="msolistparagraphcxspmiddle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lastmrcssattr">
    <w:name w:val="msolistparagraphcxsplast_mr_css_attr"/>
    <w:basedOn w:val="a"/>
    <w:rsid w:val="00274E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017CD2"/>
    <w:pPr>
      <w:tabs>
        <w:tab w:val="center" w:pos="4677"/>
        <w:tab w:val="right" w:pos="9355"/>
      </w:tabs>
      <w:spacing w:after="0" w:line="240" w:lineRule="auto"/>
    </w:pPr>
    <w:rPr>
      <w:rFonts w:eastAsiaTheme="minorEastAsia"/>
      <w:sz w:val="24"/>
      <w:szCs w:val="24"/>
      <w:lang w:eastAsia="ru-RU"/>
    </w:rPr>
  </w:style>
  <w:style w:type="character" w:customStyle="1" w:styleId="a4">
    <w:name w:val="Верхний колонтитул Знак"/>
    <w:basedOn w:val="a0"/>
    <w:link w:val="a3"/>
    <w:uiPriority w:val="99"/>
    <w:rsid w:val="00017CD2"/>
    <w:rPr>
      <w:rFonts w:eastAsiaTheme="minorEastAsia"/>
      <w:sz w:val="24"/>
      <w:szCs w:val="24"/>
      <w:lang w:eastAsia="ru-RU"/>
    </w:rPr>
  </w:style>
  <w:style w:type="paragraph" w:styleId="a5">
    <w:name w:val="footer"/>
    <w:basedOn w:val="a"/>
    <w:link w:val="a6"/>
    <w:uiPriority w:val="99"/>
    <w:unhideWhenUsed/>
    <w:rsid w:val="00182E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2E0D"/>
  </w:style>
  <w:style w:type="paragraph" w:styleId="a7">
    <w:name w:val="Balloon Text"/>
    <w:basedOn w:val="a"/>
    <w:link w:val="a8"/>
    <w:uiPriority w:val="99"/>
    <w:semiHidden/>
    <w:unhideWhenUsed/>
    <w:rsid w:val="00AC06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C06BA"/>
    <w:rPr>
      <w:rFonts w:ascii="Segoe UI" w:hAnsi="Segoe UI" w:cs="Segoe UI"/>
      <w:sz w:val="18"/>
      <w:szCs w:val="18"/>
    </w:rPr>
  </w:style>
  <w:style w:type="paragraph" w:styleId="a9">
    <w:name w:val="List Paragraph"/>
    <w:basedOn w:val="a"/>
    <w:uiPriority w:val="34"/>
    <w:qFormat/>
    <w:rsid w:val="005503BA"/>
    <w:pPr>
      <w:ind w:left="720"/>
      <w:contextualSpacing/>
    </w:pPr>
  </w:style>
  <w:style w:type="paragraph" w:styleId="aa">
    <w:name w:val="Normal (Web)"/>
    <w:basedOn w:val="a"/>
    <w:uiPriority w:val="99"/>
    <w:semiHidden/>
    <w:unhideWhenUsed/>
    <w:rsid w:val="007239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rsid w:val="009A6023"/>
    <w:pPr>
      <w:ind w:left="720"/>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5107E-D4E1-450C-A9D5-5E453FF21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1299</Words>
  <Characters>7410</Characters>
  <Application>Microsoft Office Word</Application>
  <DocSecurity>4</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Алексеева</dc:creator>
  <cp:lastModifiedBy>Куба Наталья Ивановна</cp:lastModifiedBy>
  <cp:revision>2</cp:revision>
  <cp:lastPrinted>2025-12-12T12:06:00Z</cp:lastPrinted>
  <dcterms:created xsi:type="dcterms:W3CDTF">2025-12-16T13:00:00Z</dcterms:created>
  <dcterms:modified xsi:type="dcterms:W3CDTF">2025-12-16T13:00:00Z</dcterms:modified>
</cp:coreProperties>
</file>